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Cs w:val="32"/>
        </w:rPr>
      </w:pPr>
      <w:r>
        <w:rPr>
          <w:rFonts w:eastAsia="方正黑体_GBK"/>
          <w:szCs w:val="32"/>
        </w:rPr>
        <w:t>附件1</w:t>
      </w:r>
    </w:p>
    <w:p>
      <w:pPr>
        <w:pStyle w:val="2"/>
        <w:rPr>
          <w:rFonts w:eastAsia="方正黑体_GBK"/>
          <w:b w:val="0"/>
          <w:sz w:val="32"/>
          <w:szCs w:val="32"/>
        </w:rPr>
      </w:pPr>
    </w:p>
    <w:p>
      <w:pPr>
        <w:spacing w:line="600" w:lineRule="exact"/>
        <w:jc w:val="center"/>
        <w:rPr>
          <w:rFonts w:eastAsia="方正小标宋_GBK"/>
          <w:sz w:val="44"/>
          <w:szCs w:val="44"/>
        </w:rPr>
      </w:pPr>
      <w:r>
        <w:rPr>
          <w:rFonts w:eastAsia="方正小标宋_GBK"/>
          <w:sz w:val="44"/>
          <w:szCs w:val="44"/>
        </w:rPr>
        <w:t>高级研修班教学计划</w:t>
      </w:r>
    </w:p>
    <w:tbl>
      <w:tblPr>
        <w:tblStyle w:val="4"/>
        <w:tblpPr w:leftFromText="180" w:rightFromText="180" w:vertAnchor="text" w:horzAnchor="page" w:tblpXSpec="center" w:tblpY="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14"/>
        <w:gridCol w:w="4188"/>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0" w:type="dxa"/>
            <w:gridSpan w:val="2"/>
            <w:noWrap w:val="0"/>
            <w:vAlign w:val="center"/>
          </w:tcPr>
          <w:p>
            <w:pPr>
              <w:spacing w:line="300" w:lineRule="exact"/>
              <w:jc w:val="center"/>
              <w:rPr>
                <w:rFonts w:eastAsia="方正黑体_GBK"/>
                <w:color w:val="000000"/>
                <w:kern w:val="0"/>
                <w:sz w:val="22"/>
                <w:szCs w:val="22"/>
              </w:rPr>
            </w:pPr>
            <w:r>
              <w:rPr>
                <w:rFonts w:eastAsia="方正黑体_GBK"/>
                <w:color w:val="000000"/>
                <w:sz w:val="24"/>
                <w:szCs w:val="24"/>
              </w:rPr>
              <w:t>时间</w:t>
            </w:r>
          </w:p>
        </w:tc>
        <w:tc>
          <w:tcPr>
            <w:tcW w:w="4188" w:type="dxa"/>
            <w:noWrap w:val="0"/>
            <w:vAlign w:val="center"/>
          </w:tcPr>
          <w:p>
            <w:pPr>
              <w:spacing w:line="300" w:lineRule="exact"/>
              <w:jc w:val="center"/>
              <w:rPr>
                <w:rFonts w:eastAsia="方正黑体_GBK"/>
                <w:color w:val="000000"/>
                <w:kern w:val="0"/>
                <w:sz w:val="22"/>
                <w:szCs w:val="22"/>
              </w:rPr>
            </w:pPr>
            <w:r>
              <w:rPr>
                <w:rFonts w:eastAsia="方正黑体_GBK"/>
                <w:color w:val="000000"/>
                <w:sz w:val="24"/>
                <w:szCs w:val="24"/>
              </w:rPr>
              <w:t>培训内容</w:t>
            </w:r>
          </w:p>
        </w:tc>
        <w:tc>
          <w:tcPr>
            <w:tcW w:w="2140" w:type="dxa"/>
            <w:noWrap w:val="0"/>
            <w:vAlign w:val="center"/>
          </w:tcPr>
          <w:p>
            <w:pPr>
              <w:spacing w:line="300" w:lineRule="exact"/>
              <w:jc w:val="center"/>
              <w:rPr>
                <w:rFonts w:eastAsia="方正黑体_GBK"/>
                <w:color w:val="000000"/>
                <w:kern w:val="0"/>
                <w:sz w:val="22"/>
                <w:szCs w:val="22"/>
              </w:rPr>
            </w:pPr>
            <w:r>
              <w:rPr>
                <w:rFonts w:eastAsia="方正黑体_GBK"/>
                <w:color w:val="000000"/>
                <w:sz w:val="24"/>
                <w:szCs w:val="24"/>
              </w:rPr>
              <w:t>主讲人/负责人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shd w:val="clear" w:color="auto" w:fill="auto"/>
            <w:noWrap w:val="0"/>
            <w:vAlign w:val="center"/>
          </w:tcPr>
          <w:p>
            <w:pPr>
              <w:spacing w:line="300" w:lineRule="exact"/>
              <w:jc w:val="center"/>
              <w:rPr>
                <w:rFonts w:eastAsia="方正仿宋_GBK"/>
                <w:sz w:val="24"/>
                <w:szCs w:val="16"/>
              </w:rPr>
            </w:pPr>
            <w:r>
              <w:rPr>
                <w:rFonts w:eastAsia="方正仿宋_GBK"/>
                <w:sz w:val="24"/>
                <w:szCs w:val="16"/>
              </w:rPr>
              <w:t>10月17日</w:t>
            </w:r>
          </w:p>
          <w:p>
            <w:pPr>
              <w:spacing w:line="300" w:lineRule="exact"/>
              <w:jc w:val="center"/>
              <w:rPr>
                <w:rFonts w:eastAsia="方正仿宋_GBK"/>
                <w:sz w:val="24"/>
                <w:szCs w:val="16"/>
              </w:rPr>
            </w:pPr>
            <w:r>
              <w:rPr>
                <w:rFonts w:eastAsia="方正仿宋_GBK"/>
                <w:sz w:val="24"/>
                <w:szCs w:val="16"/>
              </w:rPr>
              <w:t>（周日）</w:t>
            </w:r>
          </w:p>
        </w:tc>
        <w:tc>
          <w:tcPr>
            <w:tcW w:w="1614" w:type="dxa"/>
            <w:shd w:val="clear" w:color="auto" w:fill="auto"/>
            <w:noWrap w:val="0"/>
            <w:vAlign w:val="center"/>
          </w:tcPr>
          <w:p>
            <w:pPr>
              <w:spacing w:line="300" w:lineRule="exact"/>
              <w:jc w:val="center"/>
              <w:rPr>
                <w:rFonts w:eastAsia="方正仿宋_GBK"/>
                <w:sz w:val="24"/>
                <w:szCs w:val="16"/>
              </w:rPr>
            </w:pPr>
            <w:r>
              <w:rPr>
                <w:rFonts w:eastAsia="方正仿宋_GBK"/>
                <w:sz w:val="24"/>
                <w:szCs w:val="16"/>
              </w:rPr>
              <w:t>09:00-17:00</w:t>
            </w:r>
          </w:p>
        </w:tc>
        <w:tc>
          <w:tcPr>
            <w:tcW w:w="4188" w:type="dxa"/>
            <w:shd w:val="clear" w:color="000000" w:fill="FFFFFF"/>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学员报到</w:t>
            </w:r>
          </w:p>
        </w:tc>
        <w:tc>
          <w:tcPr>
            <w:tcW w:w="2140" w:type="dxa"/>
            <w:shd w:val="clear" w:color="000000" w:fill="FFFFFF"/>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shd w:val="clear" w:color="auto" w:fill="auto"/>
            <w:noWrap w:val="0"/>
            <w:vAlign w:val="center"/>
          </w:tcPr>
          <w:p>
            <w:pPr>
              <w:spacing w:line="300" w:lineRule="exact"/>
              <w:jc w:val="center"/>
              <w:rPr>
                <w:rFonts w:eastAsia="方正仿宋_GBK"/>
                <w:sz w:val="24"/>
                <w:szCs w:val="16"/>
              </w:rPr>
            </w:pPr>
            <w:r>
              <w:rPr>
                <w:rFonts w:eastAsia="方正仿宋_GBK"/>
                <w:sz w:val="24"/>
                <w:szCs w:val="16"/>
              </w:rPr>
              <w:t>10月18日</w:t>
            </w:r>
          </w:p>
          <w:p>
            <w:pPr>
              <w:spacing w:line="300" w:lineRule="exact"/>
              <w:jc w:val="center"/>
              <w:rPr>
                <w:rFonts w:eastAsia="方正仿宋_GBK"/>
                <w:sz w:val="24"/>
                <w:szCs w:val="16"/>
              </w:rPr>
            </w:pPr>
            <w:r>
              <w:rPr>
                <w:rFonts w:eastAsia="方正仿宋_GBK"/>
                <w:sz w:val="24"/>
                <w:szCs w:val="16"/>
              </w:rPr>
              <w:t>（周一）</w:t>
            </w:r>
          </w:p>
        </w:tc>
        <w:tc>
          <w:tcPr>
            <w:tcW w:w="1614" w:type="dxa"/>
            <w:shd w:val="clear" w:color="auto" w:fill="auto"/>
            <w:noWrap w:val="0"/>
            <w:vAlign w:val="center"/>
          </w:tcPr>
          <w:p>
            <w:pPr>
              <w:spacing w:line="300" w:lineRule="exact"/>
              <w:jc w:val="center"/>
              <w:rPr>
                <w:rFonts w:eastAsia="方正仿宋_GBK"/>
                <w:sz w:val="24"/>
                <w:szCs w:val="16"/>
              </w:rPr>
            </w:pPr>
            <w:r>
              <w:rPr>
                <w:rFonts w:eastAsia="方正仿宋_GBK"/>
                <w:sz w:val="24"/>
                <w:szCs w:val="16"/>
              </w:rPr>
              <w:t>08:30-09:00</w:t>
            </w:r>
          </w:p>
        </w:tc>
        <w:tc>
          <w:tcPr>
            <w:tcW w:w="6328" w:type="dxa"/>
            <w:gridSpan w:val="2"/>
            <w:shd w:val="clear" w:color="000000" w:fill="FFFFFF"/>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shd w:val="clear" w:color="auto" w:fill="auto"/>
            <w:noWrap w:val="0"/>
            <w:vAlign w:val="center"/>
          </w:tcPr>
          <w:p>
            <w:pPr>
              <w:spacing w:line="300" w:lineRule="exact"/>
              <w:jc w:val="center"/>
              <w:rPr>
                <w:rFonts w:eastAsia="方正仿宋_GBK"/>
                <w:sz w:val="24"/>
                <w:szCs w:val="16"/>
              </w:rPr>
            </w:pPr>
          </w:p>
        </w:tc>
        <w:tc>
          <w:tcPr>
            <w:tcW w:w="1614" w:type="dxa"/>
            <w:shd w:val="clear" w:color="auto" w:fill="auto"/>
            <w:noWrap w:val="0"/>
            <w:vAlign w:val="center"/>
          </w:tcPr>
          <w:p>
            <w:pPr>
              <w:spacing w:line="300" w:lineRule="exact"/>
              <w:jc w:val="center"/>
              <w:rPr>
                <w:rFonts w:eastAsia="方正仿宋_GBK"/>
                <w:sz w:val="24"/>
                <w:szCs w:val="16"/>
              </w:rPr>
            </w:pPr>
            <w:r>
              <w:rPr>
                <w:rFonts w:eastAsia="方正仿宋_GBK"/>
                <w:sz w:val="24"/>
                <w:szCs w:val="16"/>
              </w:rPr>
              <w:t>09:00-12:00</w:t>
            </w:r>
          </w:p>
        </w:tc>
        <w:tc>
          <w:tcPr>
            <w:tcW w:w="4188" w:type="dxa"/>
            <w:shd w:val="clear" w:color="auto" w:fill="auto"/>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专题讲座：习近平总体国家安全观与国家安全形势解读</w:t>
            </w:r>
          </w:p>
        </w:tc>
        <w:tc>
          <w:tcPr>
            <w:tcW w:w="2140" w:type="dxa"/>
            <w:shd w:val="clear" w:color="000000" w:fill="FFFFFF"/>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周燕：西南政法大学教授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shd w:val="clear" w:color="auto" w:fill="auto"/>
            <w:noWrap w:val="0"/>
            <w:vAlign w:val="center"/>
          </w:tcPr>
          <w:p>
            <w:pPr>
              <w:spacing w:line="300" w:lineRule="exact"/>
              <w:jc w:val="center"/>
              <w:rPr>
                <w:rFonts w:eastAsia="方正仿宋_GBK"/>
                <w:sz w:val="24"/>
                <w:szCs w:val="16"/>
              </w:rPr>
            </w:pPr>
          </w:p>
        </w:tc>
        <w:tc>
          <w:tcPr>
            <w:tcW w:w="1614" w:type="dxa"/>
            <w:shd w:val="clear" w:color="auto" w:fill="auto"/>
            <w:noWrap w:val="0"/>
            <w:vAlign w:val="center"/>
          </w:tcPr>
          <w:p>
            <w:pPr>
              <w:spacing w:line="300" w:lineRule="exact"/>
              <w:jc w:val="center"/>
              <w:rPr>
                <w:rFonts w:eastAsia="方正仿宋_GBK"/>
                <w:sz w:val="24"/>
                <w:szCs w:val="16"/>
              </w:rPr>
            </w:pPr>
            <w:r>
              <w:rPr>
                <w:rFonts w:eastAsia="方正仿宋_GBK"/>
                <w:sz w:val="24"/>
                <w:szCs w:val="16"/>
              </w:rPr>
              <w:t>14:00-17:00</w:t>
            </w:r>
          </w:p>
        </w:tc>
        <w:tc>
          <w:tcPr>
            <w:tcW w:w="4188" w:type="dxa"/>
            <w:shd w:val="clear" w:color="auto" w:fill="auto"/>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专题讲座：大数据技术及应用</w:t>
            </w:r>
          </w:p>
        </w:tc>
        <w:tc>
          <w:tcPr>
            <w:tcW w:w="2140" w:type="dxa"/>
            <w:shd w:val="clear" w:color="000000" w:fill="FFFFFF"/>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周伟：重庆科技学院副教授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noWrap w:val="0"/>
            <w:vAlign w:val="center"/>
          </w:tcPr>
          <w:p>
            <w:pPr>
              <w:spacing w:line="300" w:lineRule="exact"/>
              <w:jc w:val="center"/>
              <w:rPr>
                <w:rFonts w:eastAsia="方正仿宋_GBK"/>
                <w:sz w:val="24"/>
                <w:szCs w:val="16"/>
              </w:rPr>
            </w:pPr>
          </w:p>
          <w:p>
            <w:pPr>
              <w:spacing w:line="300" w:lineRule="exact"/>
              <w:jc w:val="center"/>
              <w:rPr>
                <w:rFonts w:eastAsia="方正仿宋_GBK"/>
                <w:sz w:val="24"/>
                <w:szCs w:val="16"/>
              </w:rPr>
            </w:pPr>
            <w:r>
              <w:rPr>
                <w:rFonts w:eastAsia="方正仿宋_GBK"/>
                <w:sz w:val="24"/>
                <w:szCs w:val="16"/>
              </w:rPr>
              <w:t>10月19日</w:t>
            </w:r>
          </w:p>
          <w:p>
            <w:pPr>
              <w:spacing w:line="300" w:lineRule="exact"/>
              <w:jc w:val="center"/>
              <w:rPr>
                <w:rFonts w:eastAsia="方正仿宋_GBK"/>
                <w:sz w:val="24"/>
                <w:szCs w:val="16"/>
              </w:rPr>
            </w:pPr>
            <w:r>
              <w:rPr>
                <w:rFonts w:eastAsia="方正仿宋_GBK"/>
                <w:sz w:val="24"/>
                <w:szCs w:val="16"/>
              </w:rPr>
              <w:t>（周二）</w:t>
            </w: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09:00-12:00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专题讲座：大数据安全及隐私保护</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刘泽刚：西南政法大学教授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shd w:val="clear" w:color="auto" w:fill="auto"/>
            <w:noWrap w:val="0"/>
            <w:vAlign w:val="center"/>
          </w:tcPr>
          <w:p>
            <w:pPr>
              <w:spacing w:line="300" w:lineRule="exact"/>
              <w:jc w:val="center"/>
              <w:rPr>
                <w:rFonts w:eastAsia="方正仿宋_GBK"/>
                <w:sz w:val="24"/>
                <w:szCs w:val="16"/>
              </w:rPr>
            </w:pPr>
          </w:p>
        </w:tc>
        <w:tc>
          <w:tcPr>
            <w:tcW w:w="1614" w:type="dxa"/>
            <w:shd w:val="clear" w:color="auto" w:fill="auto"/>
            <w:noWrap w:val="0"/>
            <w:vAlign w:val="center"/>
          </w:tcPr>
          <w:p>
            <w:pPr>
              <w:spacing w:line="300" w:lineRule="exact"/>
              <w:jc w:val="center"/>
              <w:rPr>
                <w:rFonts w:eastAsia="方正仿宋_GBK"/>
                <w:sz w:val="24"/>
                <w:szCs w:val="16"/>
              </w:rPr>
            </w:pPr>
            <w:r>
              <w:rPr>
                <w:rFonts w:eastAsia="方正仿宋_GBK"/>
                <w:sz w:val="24"/>
                <w:szCs w:val="16"/>
              </w:rPr>
              <w:t>14:00-17:00</w:t>
            </w:r>
          </w:p>
        </w:tc>
        <w:tc>
          <w:tcPr>
            <w:tcW w:w="4188" w:type="dxa"/>
            <w:shd w:val="clear" w:color="auto" w:fill="auto"/>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专题讲座：网络信息安全</w:t>
            </w:r>
          </w:p>
        </w:tc>
        <w:tc>
          <w:tcPr>
            <w:tcW w:w="2140" w:type="dxa"/>
            <w:shd w:val="clear" w:color="000000" w:fill="FFFFFF"/>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贾方庆：重庆市委网信办安全协调处副处长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noWrap w:val="0"/>
            <w:vAlign w:val="center"/>
          </w:tcPr>
          <w:p>
            <w:pPr>
              <w:spacing w:line="300" w:lineRule="exact"/>
              <w:jc w:val="center"/>
              <w:rPr>
                <w:rFonts w:eastAsia="方正仿宋_GBK"/>
                <w:sz w:val="24"/>
                <w:szCs w:val="16"/>
              </w:rPr>
            </w:pPr>
          </w:p>
          <w:p>
            <w:pPr>
              <w:spacing w:line="300" w:lineRule="exact"/>
              <w:jc w:val="center"/>
              <w:rPr>
                <w:rFonts w:eastAsia="方正仿宋_GBK"/>
                <w:sz w:val="24"/>
                <w:szCs w:val="16"/>
              </w:rPr>
            </w:pPr>
            <w:r>
              <w:rPr>
                <w:rFonts w:eastAsia="方正仿宋_GBK"/>
                <w:sz w:val="24"/>
                <w:szCs w:val="16"/>
              </w:rPr>
              <w:t>10月20日</w:t>
            </w:r>
          </w:p>
          <w:p>
            <w:pPr>
              <w:spacing w:line="300" w:lineRule="exact"/>
              <w:jc w:val="center"/>
              <w:rPr>
                <w:rFonts w:eastAsia="方正仿宋_GBK"/>
                <w:sz w:val="24"/>
                <w:szCs w:val="16"/>
              </w:rPr>
            </w:pPr>
            <w:r>
              <w:rPr>
                <w:rFonts w:eastAsia="方正仿宋_GBK"/>
                <w:sz w:val="24"/>
                <w:szCs w:val="16"/>
              </w:rPr>
              <w:t>（周三）</w:t>
            </w: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09:00-12:00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专题讲座：数字经济知识产权保护</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廖志刚：西南政法大学教授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76" w:type="dxa"/>
            <w:vMerge w:val="continue"/>
            <w:noWrap w:val="0"/>
            <w:vAlign w:val="center"/>
          </w:tcPr>
          <w:p>
            <w:pPr>
              <w:spacing w:line="300" w:lineRule="exact"/>
              <w:jc w:val="center"/>
              <w:rPr>
                <w:rFonts w:eastAsia="方正仿宋_GBK"/>
                <w:sz w:val="24"/>
                <w:szCs w:val="16"/>
              </w:rPr>
            </w:pP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14:00-17:00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专题讲座：依法治网形势和思路</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温怀玉：成都大学教授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noWrap w:val="0"/>
            <w:vAlign w:val="center"/>
          </w:tcPr>
          <w:p>
            <w:pPr>
              <w:spacing w:line="300" w:lineRule="exact"/>
              <w:jc w:val="center"/>
              <w:rPr>
                <w:rFonts w:eastAsia="方正仿宋_GBK"/>
                <w:sz w:val="24"/>
                <w:szCs w:val="16"/>
              </w:rPr>
            </w:pPr>
            <w:r>
              <w:rPr>
                <w:rFonts w:eastAsia="方正仿宋_GBK"/>
                <w:sz w:val="24"/>
                <w:szCs w:val="16"/>
              </w:rPr>
              <w:t>10月21日</w:t>
            </w:r>
          </w:p>
          <w:p>
            <w:pPr>
              <w:spacing w:line="300" w:lineRule="exact"/>
              <w:jc w:val="center"/>
              <w:rPr>
                <w:rFonts w:eastAsia="方正仿宋_GBK"/>
                <w:sz w:val="24"/>
                <w:szCs w:val="16"/>
              </w:rPr>
            </w:pPr>
            <w:r>
              <w:rPr>
                <w:rFonts w:eastAsia="方正仿宋_GBK"/>
                <w:sz w:val="24"/>
                <w:szCs w:val="16"/>
              </w:rPr>
              <w:t>（周四）</w:t>
            </w: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09:00-12:00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专题讲座：信息安全策略及其关键技术</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肖云鹏：重庆邮电大学教授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noWrap w:val="0"/>
            <w:vAlign w:val="center"/>
          </w:tcPr>
          <w:p>
            <w:pPr>
              <w:spacing w:line="300" w:lineRule="exact"/>
              <w:jc w:val="center"/>
              <w:rPr>
                <w:rFonts w:eastAsia="方正仿宋_GBK"/>
                <w:sz w:val="24"/>
                <w:szCs w:val="16"/>
              </w:rPr>
            </w:pP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14:00-17:00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现场教学：重庆绿盟科技</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全体学员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noWrap w:val="0"/>
            <w:vAlign w:val="center"/>
          </w:tcPr>
          <w:p>
            <w:pPr>
              <w:spacing w:line="300" w:lineRule="exact"/>
              <w:jc w:val="center"/>
              <w:rPr>
                <w:rFonts w:eastAsia="方正仿宋_GBK"/>
                <w:sz w:val="24"/>
                <w:szCs w:val="16"/>
              </w:rPr>
            </w:pPr>
            <w:r>
              <w:rPr>
                <w:rFonts w:eastAsia="方正仿宋_GBK"/>
                <w:sz w:val="24"/>
                <w:szCs w:val="16"/>
              </w:rPr>
              <w:t>10月22日</w:t>
            </w:r>
          </w:p>
          <w:p>
            <w:pPr>
              <w:spacing w:line="300" w:lineRule="exact"/>
              <w:jc w:val="center"/>
              <w:rPr>
                <w:rFonts w:eastAsia="方正仿宋_GBK"/>
                <w:sz w:val="24"/>
                <w:szCs w:val="16"/>
              </w:rPr>
            </w:pPr>
            <w:r>
              <w:rPr>
                <w:rFonts w:eastAsia="方正仿宋_GBK"/>
                <w:sz w:val="24"/>
                <w:szCs w:val="16"/>
              </w:rPr>
              <w:t>（周五）</w:t>
            </w: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09:00-12:00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专题讲座：典型案例及网络攻防技术</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葛继科：重庆科技学院副教授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noWrap w:val="0"/>
            <w:vAlign w:val="center"/>
          </w:tcPr>
          <w:p>
            <w:pPr>
              <w:spacing w:line="300" w:lineRule="exact"/>
              <w:jc w:val="center"/>
              <w:rPr>
                <w:rFonts w:eastAsia="方正仿宋_GBK"/>
                <w:sz w:val="24"/>
                <w:szCs w:val="16"/>
              </w:rPr>
            </w:pP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14:00-17:00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专题讲座：突发事件与舆论引导</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蔡斐：西南政法大学教授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noWrap w:val="0"/>
            <w:vAlign w:val="center"/>
          </w:tcPr>
          <w:p>
            <w:pPr>
              <w:spacing w:line="300" w:lineRule="exact"/>
              <w:jc w:val="center"/>
              <w:rPr>
                <w:rFonts w:eastAsia="方正仿宋_GBK"/>
                <w:sz w:val="24"/>
                <w:szCs w:val="16"/>
              </w:rPr>
            </w:pP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17:00-17:30</w:t>
            </w:r>
          </w:p>
        </w:tc>
        <w:tc>
          <w:tcPr>
            <w:tcW w:w="4188" w:type="dxa"/>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结业考核</w:t>
            </w:r>
          </w:p>
        </w:tc>
        <w:tc>
          <w:tcPr>
            <w:tcW w:w="2140" w:type="dxa"/>
            <w:noWrap w:val="0"/>
            <w:vAlign w:val="center"/>
          </w:tcPr>
          <w:p>
            <w:pPr>
              <w:spacing w:line="300" w:lineRule="exact"/>
              <w:jc w:val="left"/>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全体学员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noWrap w:val="0"/>
            <w:vAlign w:val="center"/>
          </w:tcPr>
          <w:p>
            <w:pPr>
              <w:spacing w:line="300" w:lineRule="exact"/>
              <w:jc w:val="center"/>
              <w:rPr>
                <w:rFonts w:eastAsia="方正仿宋_GBK"/>
                <w:sz w:val="24"/>
                <w:szCs w:val="16"/>
              </w:rPr>
            </w:pPr>
          </w:p>
        </w:tc>
        <w:tc>
          <w:tcPr>
            <w:tcW w:w="1614" w:type="dxa"/>
            <w:noWrap w:val="0"/>
            <w:vAlign w:val="center"/>
          </w:tcPr>
          <w:p>
            <w:pPr>
              <w:spacing w:line="300" w:lineRule="exact"/>
              <w:jc w:val="center"/>
              <w:rPr>
                <w:rFonts w:eastAsia="方正仿宋_GBK"/>
                <w:sz w:val="24"/>
                <w:szCs w:val="16"/>
              </w:rPr>
            </w:pPr>
            <w:r>
              <w:rPr>
                <w:rFonts w:eastAsia="方正仿宋_GBK"/>
                <w:sz w:val="24"/>
                <w:szCs w:val="16"/>
              </w:rPr>
              <w:t>17:30-18:00</w:t>
            </w:r>
          </w:p>
        </w:tc>
        <w:tc>
          <w:tcPr>
            <w:tcW w:w="6328" w:type="dxa"/>
            <w:gridSpan w:val="2"/>
            <w:noWrap w:val="0"/>
            <w:vAlign w:val="center"/>
          </w:tcPr>
          <w:p>
            <w:pPr>
              <w:spacing w:line="300" w:lineRule="exact"/>
              <w:jc w:val="center"/>
              <w:rPr>
                <w:rFonts w:hint="eastAsia" w:ascii="方正仿宋_GBK" w:hAnsi="方正仿宋_GBK" w:eastAsia="方正仿宋_GBK" w:cs="方正仿宋_GBK"/>
                <w:sz w:val="24"/>
                <w:szCs w:val="16"/>
              </w:rPr>
            </w:pPr>
            <w:r>
              <w:rPr>
                <w:rFonts w:hint="eastAsia" w:ascii="方正仿宋_GBK" w:hAnsi="方正仿宋_GBK" w:eastAsia="方正仿宋_GBK" w:cs="方正仿宋_GBK"/>
                <w:sz w:val="24"/>
                <w:szCs w:val="16"/>
              </w:rPr>
              <w:t>结业式/返程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8" w:type="dxa"/>
            <w:gridSpan w:val="4"/>
            <w:noWrap w:val="0"/>
            <w:vAlign w:val="center"/>
          </w:tcPr>
          <w:p>
            <w:pPr>
              <w:spacing w:line="300" w:lineRule="exact"/>
              <w:rPr>
                <w:rFonts w:eastAsia="方正仿宋_GBK"/>
                <w:sz w:val="24"/>
                <w:szCs w:val="16"/>
              </w:rPr>
            </w:pPr>
            <w:r>
              <w:rPr>
                <w:rFonts w:eastAsia="方正仿宋_GBK"/>
                <w:sz w:val="24"/>
                <w:szCs w:val="16"/>
              </w:rPr>
              <w:t>注：具体课程以实际安排为准。</w:t>
            </w:r>
          </w:p>
        </w:tc>
      </w:tr>
    </w:tbl>
    <w:p>
      <w:pPr>
        <w:pStyle w:val="3"/>
        <w:rPr>
          <w:rFonts w:eastAsia="宋体"/>
          <w:sz w:val="32"/>
          <w:szCs w:val="32"/>
        </w:rPr>
      </w:pPr>
    </w:p>
    <w:p>
      <w:pPr>
        <w:pStyle w:val="3"/>
        <w:spacing w:line="400" w:lineRule="exact"/>
        <w:rPr>
          <w:rFonts w:eastAsia="方正黑体_GBK"/>
          <w:sz w:val="28"/>
          <w:szCs w:val="28"/>
        </w:rPr>
      </w:pPr>
      <w:r>
        <w:rPr>
          <w:rFonts w:eastAsia="方正黑体_GBK"/>
          <w:b/>
          <w:bCs/>
          <w:sz w:val="28"/>
          <w:szCs w:val="28"/>
        </w:rPr>
        <w:br w:type="page"/>
      </w:r>
      <w:r>
        <w:rPr>
          <w:rFonts w:eastAsia="方正黑体_GBK"/>
          <w:sz w:val="28"/>
          <w:szCs w:val="28"/>
        </w:rPr>
        <w:t>师资介绍</w:t>
      </w:r>
    </w:p>
    <w:p>
      <w:pPr>
        <w:pStyle w:val="3"/>
        <w:spacing w:line="400" w:lineRule="exact"/>
        <w:ind w:firstLine="562" w:firstLineChars="200"/>
        <w:rPr>
          <w:rFonts w:eastAsia="方正仿宋_GBK"/>
          <w:b/>
          <w:bCs/>
          <w:sz w:val="28"/>
          <w:szCs w:val="28"/>
        </w:rPr>
      </w:pPr>
    </w:p>
    <w:p>
      <w:pPr>
        <w:pStyle w:val="3"/>
        <w:spacing w:line="380" w:lineRule="exact"/>
        <w:ind w:firstLine="562" w:firstLineChars="200"/>
        <w:jc w:val="both"/>
        <w:rPr>
          <w:rFonts w:eastAsia="方正仿宋_GBK"/>
          <w:sz w:val="28"/>
          <w:szCs w:val="28"/>
        </w:rPr>
      </w:pPr>
      <w:r>
        <w:rPr>
          <w:rFonts w:eastAsia="方正仿宋_GBK"/>
          <w:b/>
          <w:bCs/>
          <w:sz w:val="28"/>
          <w:szCs w:val="28"/>
        </w:rPr>
        <w:t>周  燕</w:t>
      </w:r>
      <w:r>
        <w:rPr>
          <w:rFonts w:eastAsia="方正仿宋_GBK"/>
          <w:sz w:val="28"/>
          <w:szCs w:val="28"/>
        </w:rPr>
        <w:t>：西南政法大学政治与公共管理学院教授，硕士生导师，中共党员。民商法硕士、管理学博士，法学博士后。西南政法大学中国社会稳定与危机管理研究中心副主任，西南政法大学中国信访与法治中国研究中心研究员，重庆高校安全稳定咨政中心研究员。</w:t>
      </w:r>
    </w:p>
    <w:p>
      <w:pPr>
        <w:pStyle w:val="3"/>
        <w:spacing w:line="380" w:lineRule="exact"/>
        <w:ind w:firstLine="562" w:firstLineChars="200"/>
        <w:jc w:val="both"/>
        <w:rPr>
          <w:rFonts w:eastAsia="方正仿宋_GBK"/>
          <w:sz w:val="28"/>
          <w:szCs w:val="28"/>
        </w:rPr>
      </w:pPr>
      <w:r>
        <w:rPr>
          <w:rFonts w:eastAsia="方正仿宋_GBK"/>
          <w:b/>
          <w:bCs/>
          <w:sz w:val="28"/>
          <w:szCs w:val="28"/>
        </w:rPr>
        <w:t>周  伟</w:t>
      </w:r>
      <w:r>
        <w:rPr>
          <w:rFonts w:eastAsia="方正仿宋_GBK"/>
          <w:sz w:val="28"/>
          <w:szCs w:val="28"/>
        </w:rPr>
        <w:t>：重庆科技学院博士，副教授，硕士生导师。主要从事人工智能、大数据分析与挖掘、信息安全等方向的理论研究与技术研发。</w:t>
      </w:r>
    </w:p>
    <w:p>
      <w:pPr>
        <w:pStyle w:val="3"/>
        <w:spacing w:line="380" w:lineRule="exact"/>
        <w:ind w:firstLine="562" w:firstLineChars="200"/>
        <w:jc w:val="both"/>
        <w:rPr>
          <w:rFonts w:eastAsia="方正仿宋_GBK"/>
          <w:sz w:val="28"/>
          <w:szCs w:val="28"/>
        </w:rPr>
      </w:pPr>
      <w:r>
        <w:rPr>
          <w:rFonts w:eastAsia="方正仿宋_GBK"/>
          <w:b/>
          <w:bCs/>
          <w:sz w:val="28"/>
          <w:szCs w:val="28"/>
        </w:rPr>
        <w:t>刘泽刚：</w:t>
      </w:r>
      <w:r>
        <w:rPr>
          <w:rFonts w:eastAsia="方正仿宋_GBK"/>
          <w:sz w:val="28"/>
          <w:szCs w:val="28"/>
        </w:rPr>
        <w:t>西南政法大学行政法学院副教授，硕士生导师。西南政法大学宪政与人大制度研究中心研究员，西南政法大学行政法学院信息法研究中心主任。</w:t>
      </w:r>
    </w:p>
    <w:p>
      <w:pPr>
        <w:pStyle w:val="2"/>
        <w:spacing w:line="380" w:lineRule="exact"/>
        <w:ind w:firstLine="562" w:firstLineChars="200"/>
        <w:jc w:val="both"/>
        <w:rPr>
          <w:rFonts w:eastAsia="方正仿宋_GBK"/>
          <w:b w:val="0"/>
          <w:color w:val="auto"/>
          <w:sz w:val="28"/>
          <w:szCs w:val="28"/>
        </w:rPr>
      </w:pPr>
      <w:r>
        <w:rPr>
          <w:rFonts w:eastAsia="方正仿宋_GBK"/>
          <w:bCs/>
          <w:color w:val="auto"/>
          <w:sz w:val="28"/>
          <w:szCs w:val="28"/>
        </w:rPr>
        <w:t>贾方庆：</w:t>
      </w:r>
      <w:r>
        <w:rPr>
          <w:rFonts w:eastAsia="方正仿宋_GBK"/>
          <w:b w:val="0"/>
          <w:color w:val="auto"/>
          <w:sz w:val="28"/>
          <w:szCs w:val="28"/>
        </w:rPr>
        <w:t>市委网信办安全协调处副处长，高级工程师，长期在一线从事网络安全监管和检查工作，有着丰富的网络安全监督检查和风险评估经验。</w:t>
      </w:r>
    </w:p>
    <w:p>
      <w:pPr>
        <w:pStyle w:val="3"/>
        <w:spacing w:line="380" w:lineRule="exact"/>
        <w:ind w:firstLine="562" w:firstLineChars="200"/>
        <w:jc w:val="both"/>
        <w:rPr>
          <w:rFonts w:eastAsia="方正仿宋_GBK"/>
          <w:sz w:val="28"/>
          <w:szCs w:val="28"/>
        </w:rPr>
      </w:pPr>
      <w:r>
        <w:rPr>
          <w:rFonts w:eastAsia="方正仿宋_GBK"/>
          <w:b/>
          <w:bCs/>
          <w:sz w:val="28"/>
          <w:szCs w:val="28"/>
        </w:rPr>
        <w:t>廖志刚：</w:t>
      </w:r>
      <w:r>
        <w:rPr>
          <w:rFonts w:eastAsia="方正仿宋_GBK"/>
          <w:sz w:val="28"/>
          <w:szCs w:val="28"/>
        </w:rPr>
        <w:t>西南政法大学法学副教授,硕士研究生导师。毕业于香港大学法律学院研究生班，并获该校颁授的硕士学位。</w:t>
      </w:r>
    </w:p>
    <w:p>
      <w:pPr>
        <w:pStyle w:val="3"/>
        <w:spacing w:line="380" w:lineRule="exact"/>
        <w:ind w:firstLine="562" w:firstLineChars="200"/>
        <w:jc w:val="both"/>
        <w:rPr>
          <w:rFonts w:eastAsia="方正仿宋_GBK"/>
          <w:sz w:val="28"/>
          <w:szCs w:val="28"/>
        </w:rPr>
      </w:pPr>
      <w:r>
        <w:rPr>
          <w:rFonts w:eastAsia="方正仿宋_GBK"/>
          <w:b/>
          <w:bCs/>
          <w:sz w:val="28"/>
          <w:szCs w:val="28"/>
        </w:rPr>
        <w:t>温怀玉</w:t>
      </w:r>
      <w:r>
        <w:rPr>
          <w:rFonts w:eastAsia="方正仿宋_GBK"/>
          <w:sz w:val="28"/>
          <w:szCs w:val="28"/>
        </w:rPr>
        <w:t>：成都大学教授、教授级高级工程师，计算机体系结构博士、经济学博士后，研究生导师和博士后联合导师；新加坡南洋理工大学、美国克拉克大学访问学者；现任易极科技集团董事长；曾先后担任高校信息中心主任、科研处处长、大数据研究院学术带头人等；社会兼职包括中国双软评估委员会副主任委员，中国软件行业协会电子政务分会会长，北京大学、浙江大学、重庆大学等客座教授。</w:t>
      </w:r>
    </w:p>
    <w:p>
      <w:pPr>
        <w:pStyle w:val="3"/>
        <w:spacing w:line="380" w:lineRule="exact"/>
        <w:ind w:firstLine="562" w:firstLineChars="200"/>
        <w:jc w:val="both"/>
        <w:rPr>
          <w:rFonts w:eastAsia="方正仿宋_GBK"/>
          <w:sz w:val="28"/>
          <w:szCs w:val="28"/>
        </w:rPr>
      </w:pPr>
      <w:r>
        <w:rPr>
          <w:rFonts w:eastAsia="方正仿宋_GBK"/>
          <w:b/>
          <w:bCs/>
          <w:sz w:val="28"/>
          <w:szCs w:val="28"/>
        </w:rPr>
        <w:t>肖云鹏</w:t>
      </w:r>
      <w:r>
        <w:rPr>
          <w:rFonts w:eastAsia="方正仿宋_GBK"/>
          <w:sz w:val="28"/>
          <w:szCs w:val="28"/>
        </w:rPr>
        <w:t>：重庆邮电大学网络与信息安全技术重庆市重点实验室数据分析与复杂软件系统团队负责人，重庆邮电大学国防信息工程技术研究院项目管理办公室主任。主要研究方向：大数据、社交网络、知识图谱、信息传播。</w:t>
      </w:r>
    </w:p>
    <w:p>
      <w:pPr>
        <w:autoSpaceDE w:val="0"/>
        <w:autoSpaceDN w:val="0"/>
        <w:adjustRightInd w:val="0"/>
        <w:spacing w:line="380" w:lineRule="exact"/>
        <w:ind w:firstLine="562" w:firstLineChars="200"/>
        <w:rPr>
          <w:rFonts w:eastAsia="方正仿宋_GBK"/>
          <w:sz w:val="28"/>
          <w:szCs w:val="28"/>
        </w:rPr>
      </w:pPr>
      <w:r>
        <w:rPr>
          <w:rFonts w:eastAsia="方正仿宋_GBK"/>
          <w:b/>
          <w:bCs/>
          <w:sz w:val="28"/>
          <w:szCs w:val="28"/>
        </w:rPr>
        <w:t>葛继科</w:t>
      </w:r>
      <w:r>
        <w:rPr>
          <w:rFonts w:eastAsia="方正仿宋_GBK"/>
          <w:sz w:val="28"/>
          <w:szCs w:val="28"/>
        </w:rPr>
        <w:t>：重庆科技学院副教授、硕士研究生导师。主持国家级教学质量工程项目1项，主持省部级教育教学改革项目3项，主持教育部产学合作协同育人项目10余项。发表教改论文10余篇。</w:t>
      </w:r>
    </w:p>
    <w:p>
      <w:pPr>
        <w:spacing w:line="380" w:lineRule="exact"/>
        <w:ind w:firstLine="562" w:firstLineChars="200"/>
        <w:rPr>
          <w:rFonts w:eastAsia="方正仿宋_GBK"/>
          <w:sz w:val="28"/>
          <w:szCs w:val="28"/>
        </w:rPr>
      </w:pPr>
      <w:r>
        <w:rPr>
          <w:rFonts w:eastAsia="方正仿宋_GBK"/>
          <w:b/>
          <w:bCs/>
          <w:sz w:val="28"/>
          <w:szCs w:val="28"/>
        </w:rPr>
        <w:t>蔡  斐</w:t>
      </w:r>
      <w:r>
        <w:rPr>
          <w:rFonts w:eastAsia="方正仿宋_GBK"/>
          <w:sz w:val="28"/>
          <w:szCs w:val="28"/>
        </w:rPr>
        <w:t>：西南政法大学法治新闻中心主任、教授、博士生导师。现任北京理工大学司法高等研究所研究员、中国（重庆）抗战大后方方研究中心研究员、中共重庆市委宣传部特约阅评专家、新浪政务新媒体学院资深讲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4042A"/>
    <w:rsid w:val="7E540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b/>
      <w:color w:val="FF0000"/>
      <w:sz w:val="4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2021-10-08T09:05:00Z</dcterms:created>
  <dc:creator>偷松鼠的坚果</dc:creator>
  <cp:lastModifiedBy>偷松鼠的坚果</cp:lastModifiedBy>
  <dcterms:modified xsi:type="dcterms:W3CDTF">2021-10-08T09:07:50Z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429579628_btnclosed</vt:lpwstr>
  </property>
</Properties>
</file>